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a4"/>
        <w:rPr>
          <w:sz w:val="28"/>
          <w:szCs w:val="28"/>
        </w:rPr>
      </w:pPr>
    </w:p>
    <w:p>
      <w:pPr>
        <w:ind w:left="4820" w:right="140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ПРИЛОЖЕНИЕ № 1</w:t>
      </w:r>
    </w:p>
    <w:p>
      <w:pPr>
        <w:ind w:left="4820" w:right="1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 </w:t>
      </w:r>
      <w:r>
        <w:rPr>
          <w:sz w:val="28"/>
          <w:szCs w:val="28"/>
        </w:rPr>
        <w:t xml:space="preserve">Порядку проведения оценки рисков государственных учреждений Новосибирской области, подведомственных департаменту имущества и земельных отношений Новосибирской области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  <w:shd w:val="clear" w:color="auto" w:fill="ffffff"/>
        </w:rPr>
      </w:pPr>
    </w:p>
    <w:p>
      <w:pPr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 xml:space="preserve">ПЕРЕЧЕНЬ</w:t>
      </w:r>
    </w:p>
    <w:p>
      <w:pPr>
        <w:jc w:val="center"/>
        <w:rPr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 xml:space="preserve">информации для проведения оценки рисков государственных учреждений Новосибирской области, подведомственных департаменту имущества и земельных отношений Новосибирской области </w:t>
      </w:r>
    </w:p>
    <w:p>
      <w:pPr>
        <w:spacing w:after="150"/>
        <w:rPr>
          <w:sz w:val="24"/>
          <w:szCs w:val="24"/>
          <w:highlight w:val="white"/>
        </w:rPr>
      </w:pPr>
    </w:p>
    <w:tbl>
      <w:tblPr>
        <w:tblW w:w="9867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4287"/>
        <w:gridCol w:w="2189"/>
        <w:gridCol w:w="3029"/>
      </w:tblGrid>
      <w:tr>
        <w:trPr>
          <w:jc w:val="center"/>
        </w:trPr>
        <w:tc>
          <w:tcPr>
            <w:tcW w:w="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№ п/п</w:t>
            </w:r>
          </w:p>
        </w:tc>
        <w:tc>
          <w:tcPr>
            <w:tcW w:w="42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Исходные данные</w:t>
            </w:r>
          </w:p>
        </w:tc>
        <w:tc>
          <w:tcPr>
            <w:tcW w:w="21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Срок предоставления информации</w:t>
            </w:r>
          </w:p>
        </w:tc>
        <w:tc>
          <w:tcPr>
            <w:tcW w:w="30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Структурное подразделение департамента имущества и земельных отношений Новосибирской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</w:rPr>
              <w:t xml:space="preserve">области</w:t>
            </w:r>
            <w:r>
              <w:rPr>
                <w:sz w:val="24"/>
                <w:szCs w:val="24"/>
                <w:highlight w:val="white"/>
              </w:rPr>
              <w:t xml:space="preserve">, ответственное за предоставление информации</w:t>
            </w:r>
          </w:p>
          <w:p>
            <w:pPr>
              <w:jc w:val="center"/>
              <w:rPr>
                <w:sz w:val="24"/>
                <w:highlight w:val="white"/>
              </w:rPr>
            </w:pPr>
          </w:p>
        </w:tc>
      </w:tr>
      <w:tr>
        <w:trPr>
          <w:gridAfter w:val="1"/>
          <w:jc w:val="center"/>
          <w:trHeight w:val="276"/>
        </w:trPr>
        <w:tc>
          <w:tcPr>
            <w:tcW w:w="363" w:type="dxa"/>
            <w:vMerge w:val="restart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</w:p>
        </w:tc>
        <w:tc>
          <w:tcPr>
            <w:tcW w:w="4287" w:type="dxa"/>
            <w:vMerge w:val="restart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Значения показателей качества финансового менеджмента государственного казенного учреждения Новосибирской области, подведомственного департаменту имущества и земельных отношений Новосибирской области, определяемые с учетом результатов проведения мониторинга качества финансового менеджмента в порядке, установленном в целях реализации положений статьи 160.2-1 Бюджетного кодекса Российской Федерации </w:t>
            </w:r>
          </w:p>
        </w:tc>
        <w:tc>
          <w:tcPr>
            <w:tcW w:w="2189" w:type="dxa"/>
            <w:vMerge w:val="restart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Ежегодно, не позднее 25 августа</w:t>
            </w:r>
          </w:p>
          <w:p>
            <w:pPr>
              <w:rPr>
                <w:sz w:val="24"/>
                <w:szCs w:val="24"/>
                <w:highlight w:val="white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rPr>
          <w:jc w:val="center"/>
          <w:trHeight w:val="1995"/>
        </w:trPr>
        <w:tc>
          <w:tcPr>
            <w:tcW w:w="363" w:type="dxa"/>
            <w:vMerge w:val="continue"/>
            <w:tcBorders>
              <w:left w:val="single" w:color="000000" w:sz="6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4287" w:type="dxa"/>
            <w:vMerge w:val="continue"/>
            <w:tcBorders>
              <w:left w:val="single" w:color="000000" w:sz="6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0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left="142"/>
              <w:jc w:val="center"/>
              <w:rPr>
                <w:sz w:val="24"/>
                <w:highlight w:val="white"/>
              </w:rPr>
            </w:pPr>
            <w:r>
              <w:rPr>
                <w:sz w:val="24"/>
              </w:rPr>
              <w:t xml:space="preserve">Отдел организационной и кадровой работы</w:t>
            </w:r>
          </w:p>
        </w:tc>
      </w:tr>
      <w:tr>
        <w:trPr>
          <w:jc w:val="center"/>
          <w:trHeight w:val="3327"/>
        </w:trPr>
        <w:tc>
          <w:tcPr>
            <w:tcW w:w="363" w:type="dxa"/>
            <w:vMerge w:val="restart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</w:p>
        </w:tc>
        <w:tc>
          <w:tcPr>
            <w:tcW w:w="4287" w:type="dxa"/>
            <w:vMerge w:val="restart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Наличие (отсутствие) в проверяемом периоде значительных изменений в деятельности государственного учреждения Новосибирской области, подведомственного департаменту имущества и земельных отношений Новосибирской области (далее – учреждение), в том числе в организационной структуре (изменение типа учреждения, реорганизация юридического лица (слияние, присоединение, разделение, выделение, преобразование), создание (ликвидация) обособленных структурных подразделений, изменение состава видов деятельности (полномочий), в том числе закрепление новых видов оказываемых услуг и выполняемых работ)</w:t>
            </w:r>
          </w:p>
        </w:tc>
        <w:tc>
          <w:tcPr>
            <w:tcW w:w="218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0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left="142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Отдел управления имуществом</w:t>
            </w:r>
          </w:p>
          <w:p>
            <w:pPr>
              <w:ind w:left="142"/>
              <w:rPr>
                <w:sz w:val="24"/>
                <w:highlight w:val="white"/>
              </w:rPr>
            </w:pPr>
          </w:p>
        </w:tc>
      </w:tr>
      <w:tr>
        <w:trPr>
          <w:jc w:val="center"/>
          <w:trHeight w:val="873"/>
        </w:trPr>
        <w:tc>
          <w:tcPr>
            <w:tcW w:w="363" w:type="dxa"/>
            <w:vMerge w:val="restart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</w:p>
        </w:tc>
        <w:tc>
          <w:tcPr>
            <w:tcW w:w="4287" w:type="dxa"/>
            <w:vMerge w:val="restart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ind w:left="142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Дата проведения последней проверки учреждения</w:t>
            </w:r>
          </w:p>
        </w:tc>
        <w:tc>
          <w:tcPr>
            <w:tcW w:w="218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0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left="142"/>
              <w:jc w:val="center"/>
              <w:rPr>
                <w:sz w:val="24"/>
                <w:highlight w:val="white"/>
              </w:rPr>
            </w:pPr>
            <w:r>
              <w:rPr>
                <w:sz w:val="24"/>
              </w:rPr>
              <w:t xml:space="preserve">Отдел организационной и кадровой работы</w:t>
            </w:r>
          </w:p>
          <w:p>
            <w:pPr>
              <w:ind w:left="142"/>
              <w:jc w:val="center"/>
              <w:rPr>
                <w:sz w:val="24"/>
                <w:highlight w:val="white"/>
              </w:rPr>
            </w:pPr>
          </w:p>
        </w:tc>
      </w:tr>
      <w:tr>
        <w:trPr>
          <w:jc w:val="center"/>
          <w:trHeight w:val="1962"/>
        </w:trPr>
        <w:tc>
          <w:tcPr>
            <w:tcW w:w="36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4" w:space="0"/>
            </w:tcBorders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</w:p>
        </w:tc>
        <w:tc>
          <w:tcPr>
            <w:tcW w:w="428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4" w:space="0"/>
            </w:tcBorders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Решения о признании деятельности учреждения удовлетворительной или неудовлетворительной, принятые балансовой комиссией по результатам анализа финансово-хозяйственной деятельности  учреждения за год, предшествующий формированию годового плана проведения плановых проверок деятельности учреждений</w:t>
            </w:r>
          </w:p>
        </w:tc>
        <w:tc>
          <w:tcPr>
            <w:tcW w:w="218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0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Отдел обеспечения доходов</w:t>
            </w:r>
          </w:p>
          <w:p>
            <w:pPr>
              <w:rPr>
                <w:sz w:val="24"/>
                <w:highlight w:val="white"/>
              </w:rPr>
            </w:pPr>
          </w:p>
        </w:tc>
      </w:tr>
      <w:tr>
        <w:trPr>
          <w:jc w:val="center"/>
          <w:trHeight w:val="709"/>
        </w:trPr>
        <w:tc>
          <w:tcPr>
            <w:tcW w:w="3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5</w:t>
            </w:r>
          </w:p>
        </w:tc>
        <w:tc>
          <w:tcPr>
            <w:tcW w:w="42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Объемы финансового обеспечения деятельности учреждения в проверяемый отчетный период</w:t>
            </w:r>
          </w:p>
        </w:tc>
        <w:tc>
          <w:tcPr>
            <w:tcW w:w="2189" w:type="dxa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02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left="142"/>
              <w:jc w:val="center"/>
              <w:rPr>
                <w:sz w:val="24"/>
                <w:highlight w:val="white"/>
              </w:rPr>
            </w:pPr>
            <w:r>
              <w:rPr>
                <w:sz w:val="24"/>
              </w:rPr>
              <w:t xml:space="preserve">Отдел финансового обеспечения</w:t>
            </w:r>
          </w:p>
        </w:tc>
      </w:tr>
      <w:tr>
        <w:trPr>
          <w:jc w:val="center"/>
          <w:trHeight w:val="709"/>
        </w:trPr>
        <w:tc>
          <w:tcPr>
            <w:tcW w:w="3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</w:p>
        </w:tc>
        <w:tc>
          <w:tcPr>
            <w:tcW w:w="42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Участие учреждения в реализации национальных проектов</w:t>
            </w:r>
          </w:p>
        </w:tc>
        <w:tc>
          <w:tcPr>
            <w:tcW w:w="2189" w:type="dxa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029" w:type="dxa"/>
            <w:vMerge w:val="restar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left="142"/>
              <w:jc w:val="center"/>
              <w:rPr>
                <w:sz w:val="24"/>
                <w:highlight w:val="white"/>
              </w:rPr>
            </w:pPr>
            <w:r>
              <w:rPr>
                <w:sz w:val="24"/>
              </w:rPr>
              <w:t xml:space="preserve">Отдел организационной и кадровой работы</w:t>
            </w:r>
          </w:p>
          <w:p>
            <w:pPr>
              <w:ind w:left="142"/>
              <w:jc w:val="center"/>
              <w:rPr>
                <w:sz w:val="24"/>
                <w:highlight w:val="white"/>
              </w:rPr>
            </w:pPr>
          </w:p>
        </w:tc>
      </w:tr>
    </w:tbl>
    <w:p/>
    <w:sectPr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2354D93A">
      <w:start w:val="1"/>
      <w:numFmt w:val="decimal"/>
      <w:lvlText w:val="%1."/>
      <w:lvlJc w:val="left"/>
      <w:pPr>
        <w:ind w:left="306" w:hanging="290"/>
        <w:jc w:val="right"/>
      </w:pPr>
      <w:rPr>
        <w:lang w:val="ru-RU" w:eastAsia="en-US" w:bidi="ar-SA"/>
      </w:rPr>
    </w:lvl>
    <w:lvl w:ilvl="1" w:tplc="1BA27C90">
      <w:start w:val="1"/>
      <w:numFmt w:val="decimal"/>
      <w:lvlText w:val="%2."/>
      <w:lvlJc w:val="left"/>
      <w:pPr>
        <w:ind w:left="705" w:hanging="371"/>
        <w:jc w:val="right"/>
      </w:pPr>
      <w:rPr>
        <w:lang w:val="ru-RU" w:eastAsia="en-US" w:bidi="ar-SA"/>
      </w:rPr>
    </w:lvl>
    <w:lvl w:ilvl="2" w:tplc="3CAA9C10">
      <w:start w:val="1"/>
      <w:numFmt w:val="bullet"/>
      <w:lvlText w:val="•"/>
      <w:lvlJc w:val="left"/>
      <w:pPr>
        <w:ind w:left="3120" w:hanging="371"/>
      </w:pPr>
      <w:rPr>
        <w:lang w:val="ru-RU" w:eastAsia="en-US" w:bidi="ar-SA"/>
      </w:rPr>
    </w:lvl>
    <w:lvl w:ilvl="3" w:tplc="8FC4F70E">
      <w:start w:val="1"/>
      <w:numFmt w:val="bullet"/>
      <w:lvlText w:val="•"/>
      <w:lvlJc w:val="left"/>
      <w:pPr>
        <w:ind w:left="4320" w:hanging="371"/>
      </w:pPr>
      <w:rPr>
        <w:lang w:val="ru-RU" w:eastAsia="en-US" w:bidi="ar-SA"/>
      </w:rPr>
    </w:lvl>
    <w:lvl w:ilvl="4" w:tplc="91C80A04">
      <w:start w:val="1"/>
      <w:numFmt w:val="bullet"/>
      <w:lvlText w:val="•"/>
      <w:lvlJc w:val="left"/>
      <w:pPr>
        <w:ind w:left="5345" w:hanging="371"/>
      </w:pPr>
      <w:rPr>
        <w:lang w:val="ru-RU" w:eastAsia="en-US" w:bidi="ar-SA"/>
      </w:rPr>
    </w:lvl>
    <w:lvl w:ilvl="5" w:tplc="9D78AE46">
      <w:start w:val="1"/>
      <w:numFmt w:val="bullet"/>
      <w:lvlText w:val="•"/>
      <w:lvlJc w:val="left"/>
      <w:pPr>
        <w:ind w:left="6371" w:hanging="371"/>
      </w:pPr>
      <w:rPr>
        <w:lang w:val="ru-RU" w:eastAsia="en-US" w:bidi="ar-SA"/>
      </w:rPr>
    </w:lvl>
    <w:lvl w:ilvl="6" w:tplc="4EA6C97E">
      <w:start w:val="1"/>
      <w:numFmt w:val="bullet"/>
      <w:lvlText w:val="•"/>
      <w:lvlJc w:val="left"/>
      <w:pPr>
        <w:ind w:left="7397" w:hanging="371"/>
      </w:pPr>
      <w:rPr>
        <w:lang w:val="ru-RU" w:eastAsia="en-US" w:bidi="ar-SA"/>
      </w:rPr>
    </w:lvl>
    <w:lvl w:ilvl="7" w:tplc="5D0AC67A">
      <w:start w:val="1"/>
      <w:numFmt w:val="bullet"/>
      <w:lvlText w:val="•"/>
      <w:lvlJc w:val="left"/>
      <w:pPr>
        <w:ind w:left="8422" w:hanging="371"/>
      </w:pPr>
      <w:rPr>
        <w:lang w:val="ru-RU" w:eastAsia="en-US" w:bidi="ar-SA"/>
      </w:rPr>
    </w:lvl>
    <w:lvl w:ilvl="8" w:tplc="BB02ADAA">
      <w:start w:val="1"/>
      <w:numFmt w:val="bullet"/>
      <w:lvlText w:val="•"/>
      <w:lvlJc w:val="left"/>
      <w:pPr>
        <w:ind w:left="9448" w:hanging="371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widowControl w:val="off"/>
    </w:pPr>
    <w:rPr>
      <w:lang w:eastAsia="ru-RU"/>
    </w:rPr>
  </w:style>
  <w:style w:type="paragraph" w:styleId="1">
    <w:name w:val="heading 1"/>
    <w:basedOn w:val="a"/>
    <w:link w:val="10"/>
    <w:uiPriority w:val="1"/>
    <w:qFormat/>
    <w:pPr>
      <w:ind w:left="566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Heading2Char" w:customStyle="1">
    <w:name w:val="Heading 2 Char"/>
    <w:basedOn w:val="a0"/>
    <w:uiPriority w:val="9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a0"/>
    <w:uiPriority w:val="9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a0"/>
    <w:uiPriority w:val="9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a0"/>
    <w:uiPriority w:val="9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a0"/>
    <w:uiPriority w:val="9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a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a0"/>
    <w:uiPriority w:val="9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a0"/>
    <w:uiPriority w:val="9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a0"/>
    <w:uiPriority w:val="10"/>
    <w:rPr>
      <w:sz w:val="48"/>
      <w:szCs w:val="48"/>
    </w:rPr>
  </w:style>
  <w:style w:type="character" w:styleId="SubtitleChar" w:customStyle="1">
    <w:name w:val="Subtitle Char"/>
    <w:basedOn w:val="a0"/>
    <w:uiPriority w:val="11"/>
    <w:rPr>
      <w:sz w:val="24"/>
      <w:szCs w:val="24"/>
    </w:rPr>
  </w:style>
  <w:style w:type="character" w:styleId="QuoteChar" w:customStyle="1">
    <w:name w:val="Quote Char"/>
    <w:uiPriority w:val="29"/>
    <w:rPr>
      <w:i/>
    </w:rPr>
  </w:style>
  <w:style w:type="character" w:styleId="IntenseQuoteChar" w:customStyle="1">
    <w:name w:val="Intense Quote Char"/>
    <w:uiPriority w:val="30"/>
    <w:rPr>
      <w:i/>
    </w:rPr>
  </w:style>
  <w:style w:type="character" w:styleId="FootnoteTextChar" w:customStyle="1">
    <w:name w:val="Footnote Text Char"/>
    <w:uiPriority w:val="99"/>
    <w:rPr>
      <w:sz w:val="18"/>
    </w:rPr>
  </w:style>
  <w:style w:type="character" w:styleId="EndnoteTextChar" w:customStyle="1">
    <w:name w:val="Endnote Text Char"/>
    <w:uiPriority w:val="99"/>
    <w:rPr>
      <w:sz w:val="20"/>
    </w:rPr>
  </w:style>
  <w:style w:type="character" w:styleId="Heading1Char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link w:val="2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1"/>
    <w:qFormat/>
    <w:pPr>
      <w:ind w:left="720"/>
      <w:contextualSpacing/>
    </w:pPr>
  </w:style>
  <w:style w:type="paragraph" w:styleId="a4">
    <w:name w:val="No Spacing"/>
    <w:uiPriority w:val="1"/>
    <w:qFormat/>
    <w:pPr>
      <w:widowControl w:val="off"/>
    </w:pPr>
    <w:rPr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a6" w:customStyle="1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styleId="a8" w:customStyle="1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a" w:customStyle="1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styleId="HeaderChar" w:customStyle="1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styleId="FooterChar" w:customStyle="1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CaptionChar" w:customStyle="1">
    <w:name w:val="Caption Char"/>
    <w:uiPriority w:val="99"/>
  </w:style>
  <w:style w:type="table" w:styleId="af0">
    <w:name w:val="Table Grid"/>
    <w:basedOn w:val="a1"/>
    <w:tblPr/>
  </w:style>
  <w:style w:type="table" w:styleId="TableGridLight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link w:val="af1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styleId="af4" w:customStyle="1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</w:style>
  <w:style w:type="character" w:styleId="af7" w:customStyle="1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styleId="afb" w:customStyle="1">
    <w:name w:val="Название"/>
    <w:basedOn w:val="a"/>
    <w:link w:val="afc"/>
    <w:qFormat/>
    <w:pPr>
      <w:ind w:left="-180"/>
      <w:jc w:val="center"/>
    </w:pPr>
    <w:rPr>
      <w:b/>
      <w:sz w:val="28"/>
      <w:szCs w:val="28"/>
      <w:lang w:eastAsia="en-US"/>
    </w:rPr>
  </w:style>
  <w:style w:type="character" w:styleId="afc" w:customStyle="1">
    <w:name w:val="Название Знак"/>
    <w:link w:val="afb"/>
    <w:rPr>
      <w:b/>
      <w:sz w:val="28"/>
      <w:szCs w:val="28"/>
    </w:rPr>
  </w:style>
  <w:style w:type="character" w:styleId="ae" w:customStyle="1">
    <w:name w:val="Нижний колонтитул Знак"/>
    <w:basedOn w:val="a0"/>
    <w:link w:val="ad"/>
    <w:uiPriority w:val="99"/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styleId="afe" w:customStyle="1">
    <w:name w:val="Текст выноски Знак"/>
    <w:link w:val="afd"/>
    <w:uiPriority w:val="99"/>
    <w:semiHidden/>
    <w:rPr>
      <w:rFonts w:ascii="Tahoma" w:hAnsi="Tahoma" w:cs="Tahoma"/>
      <w:sz w:val="16"/>
      <w:szCs w:val="16"/>
    </w:rPr>
  </w:style>
  <w:style w:type="character" w:styleId="ac" w:customStyle="1">
    <w:name w:val="Верхний колонтитул Знак"/>
    <w:basedOn w:val="a0"/>
    <w:link w:val="ab"/>
    <w:uiPriority w:val="99"/>
  </w:style>
  <w:style w:type="character" w:styleId="aff">
    <w:name w:val="Strong"/>
    <w:uiPriority w:val="22"/>
    <w:qFormat/>
    <w:rPr>
      <w:b/>
      <w:bCs/>
    </w:rPr>
  </w:style>
  <w:style w:type="character" w:styleId="10" w:customStyle="1">
    <w:name w:val="Заголовок 1 Знак"/>
    <w:link w:val="1"/>
    <w:uiPriority w:val="1"/>
    <w:rPr>
      <w:b/>
      <w:bCs/>
      <w:sz w:val="28"/>
      <w:szCs w:val="28"/>
      <w:lang w:eastAsia="en-US"/>
    </w:rPr>
  </w:style>
  <w:style w:type="paragraph" w:styleId="aff0">
    <w:name w:val="Body Text"/>
    <w:basedOn w:val="a"/>
    <w:link w:val="aff1"/>
    <w:uiPriority w:val="1"/>
    <w:qFormat/>
    <w:rPr>
      <w:sz w:val="27"/>
      <w:szCs w:val="27"/>
      <w:lang w:eastAsia="en-US"/>
    </w:rPr>
  </w:style>
  <w:style w:type="character" w:styleId="aff1" w:customStyle="1">
    <w:name w:val="Основной текст Знак"/>
    <w:link w:val="aff0"/>
    <w:uiPriority w:val="1"/>
    <w:rPr>
      <w:sz w:val="27"/>
      <w:szCs w:val="27"/>
      <w:lang w:eastAsia="en-US"/>
    </w:rPr>
  </w:style>
  <w:style w:type="paragraph" w:styleId="ConsPlusNormal" w:customStyle="1">
    <w:name w:val="ConsPlusNormal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cs="Arial"/>
      <w:lang w:val="en-US"/>
    </w:rPr>
  </w:style>
  <w:style w:type="paragraph" w:styleId="af1" w:customStyle="1">
    <w:name w:val="обычный текст"/>
    <w:link w:val="GridTable1Light-Accent3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ind w:firstLine="709"/>
      <w:jc w:val="both"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EE8FA-0427-42ED-88EC-09681E1D7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1973</Characters>
  <CharactersWithSpaces>2315</CharactersWithSpaces>
  <Company>АГНОиПНО</Company>
  <DocSecurity>0</DocSecurity>
  <HyperlinksChanged>false</HyperlinksChanged>
  <Lines>16</Lines>
  <LinksUpToDate>false</LinksUpToDate>
  <Pages>1</Pages>
  <Paragraphs>4</Paragraphs>
  <ScaleCrop>false</ScaleCrop>
  <SharedDoc>false</SharedDoc>
  <Template>Normal</Template>
  <TotalTime>3</TotalTime>
  <Words>346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Демкова Татьяна Владимировна</dc:creator>
  <cp:lastModifiedBy>Калашникова Светлана Валерьевна</cp:lastModifiedBy>
  <cp:revision>2</cp:revision>
  <dcterms:created xsi:type="dcterms:W3CDTF">2025-07-02T05:58:00Z</dcterms:created>
  <dcterms:modified xsi:type="dcterms:W3CDTF">2025-07-02T05:58:00Z</dcterms:modified>
  <cp:version>1048576</cp:version>
</cp:coreProperties>
</file>